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49E8A" w14:textId="77777777" w:rsidR="0019657E" w:rsidRPr="002F5E4E" w:rsidRDefault="0019657E" w:rsidP="0019657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5E4E">
        <w:rPr>
          <w:rFonts w:ascii="Times New Roman" w:hAnsi="Times New Roman" w:cs="Times New Roman"/>
          <w:b/>
          <w:sz w:val="28"/>
          <w:szCs w:val="28"/>
          <w:lang w:val="en-US"/>
        </w:rPr>
        <w:t>NATIONAL SUN YAT-SEN UNIVERSITY</w:t>
      </w:r>
    </w:p>
    <w:p w14:paraId="5632E295" w14:textId="77777777" w:rsidR="0019657E" w:rsidRPr="002F5E4E" w:rsidRDefault="0019657E" w:rsidP="0019657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D7A5B00" w14:textId="3FC9DBC3" w:rsidR="0019657E" w:rsidRPr="002F5E4E" w:rsidRDefault="0019657E" w:rsidP="0019657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5E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College of </w:t>
      </w:r>
      <w:r w:rsidR="006B166C" w:rsidRPr="006B166C">
        <w:rPr>
          <w:rFonts w:ascii="Times New Roman" w:hAnsi="Times New Roman" w:cs="Times New Roman" w:hint="eastAsia"/>
          <w:b/>
          <w:sz w:val="28"/>
          <w:szCs w:val="28"/>
          <w:lang w:val="en-US"/>
        </w:rPr>
        <w:t>L</w:t>
      </w:r>
      <w:r w:rsidR="006B16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iberal Arts </w:t>
      </w:r>
      <w:r w:rsidR="006B166C" w:rsidRPr="006B166C">
        <w:rPr>
          <w:rFonts w:ascii="Times New Roman" w:hAnsi="Times New Roman" w:cs="Times New Roman"/>
          <w:b/>
          <w:sz w:val="28"/>
          <w:szCs w:val="28"/>
          <w:lang w:val="en-US"/>
        </w:rPr>
        <w:t>Regulations of Faculty Promotion Evaluation Scoring</w:t>
      </w:r>
    </w:p>
    <w:p w14:paraId="2A01CAB8" w14:textId="77777777" w:rsidR="0019657E" w:rsidRPr="002F5E4E" w:rsidRDefault="0019657E" w:rsidP="0019657E">
      <w:pPr>
        <w:rPr>
          <w:rFonts w:ascii="Times New Roman" w:hAnsi="Times New Roman" w:cs="Times New Roman"/>
          <w:lang w:val="en-US"/>
        </w:rPr>
      </w:pPr>
    </w:p>
    <w:p w14:paraId="21CAC5C5" w14:textId="6835F9C4" w:rsidR="0019657E" w:rsidRPr="002F5E4E" w:rsidRDefault="0019657E" w:rsidP="0019657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Issued by the </w:t>
      </w:r>
      <w:proofErr w:type="gramStart"/>
      <w:r w:rsidR="006B166C"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2F5E4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proofErr w:type="gramEnd"/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B166C">
        <w:rPr>
          <w:rFonts w:ascii="Times New Roman" w:hAnsi="Times New Roman" w:cs="Times New Roman"/>
          <w:sz w:val="20"/>
          <w:szCs w:val="20"/>
          <w:lang w:val="en-US"/>
        </w:rPr>
        <w:t xml:space="preserve">College Faculty Evaluation Committee Meeting 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on </w:t>
      </w:r>
      <w:r w:rsidR="006B166C">
        <w:rPr>
          <w:rFonts w:ascii="Times New Roman" w:hAnsi="Times New Roman" w:cs="Times New Roman"/>
          <w:sz w:val="20"/>
          <w:szCs w:val="20"/>
          <w:lang w:val="en-US"/>
        </w:rPr>
        <w:t>January 4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>, 200</w:t>
      </w:r>
      <w:r w:rsidR="006B166C"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, School Year </w:t>
      </w:r>
      <w:r w:rsidR="006B166C">
        <w:rPr>
          <w:rFonts w:ascii="Times New Roman" w:hAnsi="Times New Roman" w:cs="Times New Roman"/>
          <w:sz w:val="20"/>
          <w:szCs w:val="20"/>
          <w:lang w:val="en-US"/>
        </w:rPr>
        <w:t>88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65FB509" w14:textId="54966AF8" w:rsidR="0019657E" w:rsidRPr="002F5E4E" w:rsidRDefault="0019657E" w:rsidP="0019657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Amended and approved by the </w:t>
      </w:r>
      <w:r w:rsidR="006B166C">
        <w:rPr>
          <w:rFonts w:ascii="Times New Roman" w:hAnsi="Times New Roman" w:cs="Times New Roman"/>
          <w:sz w:val="20"/>
          <w:szCs w:val="20"/>
          <w:lang w:val="en-US"/>
        </w:rPr>
        <w:t>232</w:t>
      </w:r>
      <w:r w:rsidR="006B166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</w:t>
      </w:r>
      <w:r w:rsidRPr="002F5E4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d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 University Faculty Evaluation Committee Meeting on </w:t>
      </w:r>
      <w:r w:rsidR="006B166C">
        <w:rPr>
          <w:rFonts w:ascii="Times New Roman" w:hAnsi="Times New Roman" w:cs="Times New Roman"/>
          <w:sz w:val="20"/>
          <w:szCs w:val="20"/>
          <w:lang w:val="en-US"/>
        </w:rPr>
        <w:t>April 26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>, 200</w:t>
      </w:r>
      <w:r w:rsidR="006B166C"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3D698BA" w14:textId="539737FD" w:rsidR="00C955DF" w:rsidRDefault="00C955DF" w:rsidP="00C955D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Amended and approved by the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4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proofErr w:type="gramEnd"/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College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 Faculty Evaluation Committee Meeting on </w:t>
      </w:r>
      <w:r>
        <w:rPr>
          <w:rFonts w:ascii="Times New Roman" w:hAnsi="Times New Roman" w:cs="Times New Roman"/>
          <w:sz w:val="20"/>
          <w:szCs w:val="20"/>
          <w:lang w:val="en-US"/>
        </w:rPr>
        <w:t>November 16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>, 200</w:t>
      </w:r>
      <w:r>
        <w:rPr>
          <w:rFonts w:ascii="Times New Roman" w:hAnsi="Times New Roman" w:cs="Times New Roman"/>
          <w:sz w:val="20"/>
          <w:szCs w:val="20"/>
          <w:lang w:val="en-US"/>
        </w:rPr>
        <w:t>0, Scho</w:t>
      </w:r>
      <w:r w:rsidR="000D1BF6">
        <w:rPr>
          <w:rFonts w:ascii="Times New Roman" w:hAnsi="Times New Roman" w:cs="Times New Roman"/>
          <w:sz w:val="20"/>
          <w:szCs w:val="20"/>
          <w:lang w:val="en-US"/>
        </w:rPr>
        <w:t>o</w:t>
      </w:r>
      <w:r>
        <w:rPr>
          <w:rFonts w:ascii="Times New Roman" w:hAnsi="Times New Roman" w:cs="Times New Roman"/>
          <w:sz w:val="20"/>
          <w:szCs w:val="20"/>
          <w:lang w:val="en-US"/>
        </w:rPr>
        <w:t>l Year 89.</w:t>
      </w:r>
    </w:p>
    <w:p w14:paraId="19737899" w14:textId="6D35626D" w:rsidR="00C955DF" w:rsidRDefault="00C955DF" w:rsidP="00C955DF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Approved by the 240</w:t>
      </w:r>
      <w:r w:rsidRPr="00C955D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University Faculty Evaluation Committee Meeting on November 27, 2000.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57BE60D" w14:textId="277448D2" w:rsidR="00C955DF" w:rsidRPr="002F5E4E" w:rsidRDefault="00C955DF" w:rsidP="00C955D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64C3F">
        <w:rPr>
          <w:rFonts w:ascii="Times New Roman" w:hAnsi="Times New Roman" w:cs="Times New Roman"/>
          <w:sz w:val="20"/>
          <w:szCs w:val="20"/>
          <w:lang w:val="en-US"/>
        </w:rPr>
        <w:t>Amen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ded and approved by the </w:t>
      </w:r>
      <w:r>
        <w:rPr>
          <w:rFonts w:ascii="Times New Roman" w:hAnsi="Times New Roman" w:cs="Times New Roman"/>
          <w:sz w:val="20"/>
          <w:szCs w:val="20"/>
          <w:lang w:val="en-US"/>
        </w:rPr>
        <w:t>241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st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 University Faculty Evaluation Committee Meeting on </w:t>
      </w:r>
      <w:r>
        <w:rPr>
          <w:rFonts w:ascii="Times New Roman" w:hAnsi="Times New Roman" w:cs="Times New Roman"/>
          <w:sz w:val="20"/>
          <w:szCs w:val="20"/>
          <w:lang w:val="en-US"/>
        </w:rPr>
        <w:t>December 18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>, 200</w:t>
      </w:r>
      <w:r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AFC4E5A" w14:textId="55B1D684" w:rsidR="00C955DF" w:rsidRDefault="000D1BF6" w:rsidP="00C955D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Amended and approved by the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8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proofErr w:type="gramEnd"/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College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 Faculty Evaluation Committee Meeting on </w:t>
      </w:r>
      <w:r>
        <w:rPr>
          <w:rFonts w:ascii="Times New Roman" w:hAnsi="Times New Roman" w:cs="Times New Roman"/>
          <w:sz w:val="20"/>
          <w:szCs w:val="20"/>
          <w:lang w:val="en-US"/>
        </w:rPr>
        <w:t>June 5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>, 200</w:t>
      </w:r>
      <w:r>
        <w:rPr>
          <w:rFonts w:ascii="Times New Roman" w:hAnsi="Times New Roman" w:cs="Times New Roman"/>
          <w:sz w:val="20"/>
          <w:szCs w:val="20"/>
          <w:lang w:val="en-US"/>
        </w:rPr>
        <w:t>8, School Year 96.</w:t>
      </w:r>
    </w:p>
    <w:p w14:paraId="2E1018FA" w14:textId="5E06E74F" w:rsidR="000D1BF6" w:rsidRPr="002F5E4E" w:rsidRDefault="000D1BF6" w:rsidP="000D1BF6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Amended and approved by the </w:t>
      </w:r>
      <w:r>
        <w:rPr>
          <w:rFonts w:ascii="Times New Roman" w:hAnsi="Times New Roman" w:cs="Times New Roman"/>
          <w:sz w:val="20"/>
          <w:szCs w:val="20"/>
          <w:lang w:val="en-US"/>
        </w:rPr>
        <w:t>316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 University Faculty Evaluation Committee Meeting on </w:t>
      </w:r>
      <w:r>
        <w:rPr>
          <w:rFonts w:ascii="Times New Roman" w:hAnsi="Times New Roman" w:cs="Times New Roman"/>
          <w:sz w:val="20"/>
          <w:szCs w:val="20"/>
          <w:lang w:val="en-US"/>
        </w:rPr>
        <w:t>June 25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>, 200</w:t>
      </w:r>
      <w:r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50DA711" w14:textId="4DC98840" w:rsidR="001A38A5" w:rsidRDefault="001A38A5" w:rsidP="001A38A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Amended and approved by the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st</w:t>
      </w:r>
      <w:proofErr w:type="gramEnd"/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College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 Faculty Evaluation Committee Meeting on </w:t>
      </w:r>
      <w:r>
        <w:rPr>
          <w:rFonts w:ascii="Times New Roman" w:hAnsi="Times New Roman" w:cs="Times New Roman"/>
          <w:sz w:val="20"/>
          <w:szCs w:val="20"/>
          <w:lang w:val="en-US"/>
        </w:rPr>
        <w:t>October 2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>, 200</w:t>
      </w:r>
      <w:r>
        <w:rPr>
          <w:rFonts w:ascii="Times New Roman" w:hAnsi="Times New Roman" w:cs="Times New Roman"/>
          <w:sz w:val="20"/>
          <w:szCs w:val="20"/>
          <w:lang w:val="en-US"/>
        </w:rPr>
        <w:t>8, School Year 97.</w:t>
      </w:r>
    </w:p>
    <w:p w14:paraId="67090695" w14:textId="7C2293AC" w:rsidR="001A38A5" w:rsidRPr="002F5E4E" w:rsidRDefault="001A38A5" w:rsidP="001A38A5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Reviewed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 and approved by the </w:t>
      </w:r>
      <w:r>
        <w:rPr>
          <w:rFonts w:ascii="Times New Roman" w:hAnsi="Times New Roman" w:cs="Times New Roman"/>
          <w:sz w:val="20"/>
          <w:szCs w:val="20"/>
          <w:lang w:val="en-US"/>
        </w:rPr>
        <w:t>317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 University Faculty Evaluation Committee Meeting on </w:t>
      </w:r>
      <w:r>
        <w:rPr>
          <w:rFonts w:ascii="Times New Roman" w:hAnsi="Times New Roman" w:cs="Times New Roman"/>
          <w:sz w:val="20"/>
          <w:szCs w:val="20"/>
          <w:lang w:val="en-US"/>
        </w:rPr>
        <w:t>October 28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>, 200</w:t>
      </w:r>
      <w:r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99418D0" w14:textId="2EF9DC02" w:rsidR="004A02A2" w:rsidRDefault="004A02A2" w:rsidP="004A02A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Amended and approved by the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st</w:t>
      </w:r>
      <w:proofErr w:type="gramEnd"/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College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 Faculty Evaluation Committee Meeting on </w:t>
      </w:r>
      <w:r>
        <w:rPr>
          <w:rFonts w:ascii="Times New Roman" w:hAnsi="Times New Roman" w:cs="Times New Roman"/>
          <w:sz w:val="20"/>
          <w:szCs w:val="20"/>
          <w:lang w:val="en-US"/>
        </w:rPr>
        <w:t>October 3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>, 20</w:t>
      </w:r>
      <w:r>
        <w:rPr>
          <w:rFonts w:ascii="Times New Roman" w:hAnsi="Times New Roman" w:cs="Times New Roman"/>
          <w:sz w:val="20"/>
          <w:szCs w:val="20"/>
          <w:lang w:val="en-US"/>
        </w:rPr>
        <w:t>12, School Year 101.</w:t>
      </w:r>
    </w:p>
    <w:p w14:paraId="22E54D1E" w14:textId="22F5C64F" w:rsidR="00D3011B" w:rsidRDefault="00D3011B" w:rsidP="00D3011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Amended and approved by the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nd</w:t>
      </w:r>
      <w:proofErr w:type="gramEnd"/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College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 Faculty Evaluation Committee Meeting on </w:t>
      </w:r>
      <w:r>
        <w:rPr>
          <w:rFonts w:ascii="Times New Roman" w:hAnsi="Times New Roman" w:cs="Times New Roman"/>
          <w:sz w:val="20"/>
          <w:szCs w:val="20"/>
          <w:lang w:val="en-US"/>
        </w:rPr>
        <w:t>November 7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>, 20</w:t>
      </w:r>
      <w:r>
        <w:rPr>
          <w:rFonts w:ascii="Times New Roman" w:hAnsi="Times New Roman" w:cs="Times New Roman"/>
          <w:sz w:val="20"/>
          <w:szCs w:val="20"/>
          <w:lang w:val="en-US"/>
        </w:rPr>
        <w:t>12, School Year 101.</w:t>
      </w:r>
    </w:p>
    <w:p w14:paraId="6BCCC650" w14:textId="2CD0B96F" w:rsidR="00104F16" w:rsidRPr="002F5E4E" w:rsidRDefault="00104F16" w:rsidP="00104F16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Amended and approved by the </w:t>
      </w:r>
      <w:r>
        <w:rPr>
          <w:rFonts w:ascii="Times New Roman" w:hAnsi="Times New Roman" w:cs="Times New Roman"/>
          <w:sz w:val="20"/>
          <w:szCs w:val="20"/>
          <w:lang w:val="en-US"/>
        </w:rPr>
        <w:t>348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 University Faculty Evaluation Committee Meeting on </w:t>
      </w:r>
      <w:r>
        <w:rPr>
          <w:rFonts w:ascii="Times New Roman" w:hAnsi="Times New Roman" w:cs="Times New Roman"/>
          <w:sz w:val="20"/>
          <w:szCs w:val="20"/>
          <w:lang w:val="en-US"/>
        </w:rPr>
        <w:t>November 22, 2012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5A92A4E" w14:textId="63BB5A3C" w:rsidR="00A301D9" w:rsidRDefault="00A301D9" w:rsidP="00A301D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Amended and approved by the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st</w:t>
      </w:r>
      <w:proofErr w:type="gramEnd"/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College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 Faculty Evaluation Committee Meeting on </w:t>
      </w:r>
      <w:r>
        <w:rPr>
          <w:rFonts w:ascii="Times New Roman" w:hAnsi="Times New Roman" w:cs="Times New Roman"/>
          <w:sz w:val="20"/>
          <w:szCs w:val="20"/>
          <w:lang w:val="en-US"/>
        </w:rPr>
        <w:t>September 12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>, 20</w:t>
      </w:r>
      <w:r>
        <w:rPr>
          <w:rFonts w:ascii="Times New Roman" w:hAnsi="Times New Roman" w:cs="Times New Roman"/>
          <w:sz w:val="20"/>
          <w:szCs w:val="20"/>
          <w:lang w:val="en-US"/>
        </w:rPr>
        <w:t>13, School Year 102.</w:t>
      </w:r>
    </w:p>
    <w:p w14:paraId="79A054CF" w14:textId="58913FAE" w:rsidR="00A301D9" w:rsidRPr="002F5E4E" w:rsidRDefault="00A301D9" w:rsidP="00A301D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Amended and approved by the </w:t>
      </w:r>
      <w:r>
        <w:rPr>
          <w:rFonts w:ascii="Times New Roman" w:hAnsi="Times New Roman" w:cs="Times New Roman"/>
          <w:sz w:val="20"/>
          <w:szCs w:val="20"/>
          <w:lang w:val="en-US"/>
        </w:rPr>
        <w:t>357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 xml:space="preserve"> University Faculty Evaluation Committee Meeting on </w:t>
      </w:r>
      <w:r>
        <w:rPr>
          <w:rFonts w:ascii="Times New Roman" w:hAnsi="Times New Roman" w:cs="Times New Roman"/>
          <w:sz w:val="20"/>
          <w:szCs w:val="20"/>
          <w:lang w:val="en-US"/>
        </w:rPr>
        <w:t>October 17, 2013</w:t>
      </w:r>
      <w:r w:rsidRPr="002F5E4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BE184D6" w14:textId="77777777" w:rsidR="000D1BF6" w:rsidRPr="002F5E4E" w:rsidRDefault="000D1BF6" w:rsidP="00C955D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382054F" w14:textId="1643D810" w:rsidR="007B1BB0" w:rsidRDefault="007B1BB0" w:rsidP="00D43F3F">
      <w:pPr>
        <w:pStyle w:val="a3"/>
        <w:widowControl/>
        <w:numPr>
          <w:ilvl w:val="0"/>
          <w:numId w:val="4"/>
        </w:numPr>
        <w:spacing w:afterLines="50" w:after="120"/>
        <w:contextualSpacing w:val="0"/>
        <w:jc w:val="both"/>
      </w:pPr>
      <w:r>
        <w:rPr>
          <w:rFonts w:hint="eastAsia"/>
        </w:rPr>
        <w:t>This set of regulations is issu</w:t>
      </w:r>
      <w:r>
        <w:t>ed in accordance with “</w:t>
      </w:r>
      <w:r w:rsidR="00C7753D">
        <w:rPr>
          <w:rFonts w:hint="eastAsia"/>
        </w:rPr>
        <w:t xml:space="preserve">National Sun </w:t>
      </w:r>
      <w:proofErr w:type="spellStart"/>
      <w:r w:rsidR="00C7753D">
        <w:rPr>
          <w:rFonts w:hint="eastAsia"/>
        </w:rPr>
        <w:t>Yat-sen</w:t>
      </w:r>
      <w:proofErr w:type="spellEnd"/>
      <w:r w:rsidR="00C7753D">
        <w:rPr>
          <w:rFonts w:hint="eastAsia"/>
        </w:rPr>
        <w:t xml:space="preserve"> </w:t>
      </w:r>
      <w:r w:rsidR="00C7753D">
        <w:t>University</w:t>
      </w:r>
      <w:r w:rsidR="00C7753D">
        <w:rPr>
          <w:rFonts w:hint="eastAsia"/>
        </w:rPr>
        <w:t xml:space="preserve"> (</w:t>
      </w:r>
      <w:r w:rsidR="00C7753D">
        <w:t>NSYSU</w:t>
      </w:r>
      <w:r w:rsidR="00C7753D">
        <w:rPr>
          <w:rFonts w:hint="eastAsia"/>
        </w:rPr>
        <w:t xml:space="preserve">) </w:t>
      </w:r>
      <w:r w:rsidRPr="00CE3DA9">
        <w:t xml:space="preserve">Regulations of Teaching and Research </w:t>
      </w:r>
      <w:r>
        <w:t>Personnel Promotion Evaluation”</w:t>
      </w:r>
      <w:r w:rsidR="00D43F3F">
        <w:t xml:space="preserve"> and “</w:t>
      </w:r>
      <w:r w:rsidR="00D43F3F" w:rsidRPr="00D43F3F">
        <w:t>College of Liberal Arts Regulations of Faculty Promotion Evaluation</w:t>
      </w:r>
      <w:r w:rsidR="00D43F3F">
        <w:t>.”</w:t>
      </w:r>
    </w:p>
    <w:p w14:paraId="21986E63" w14:textId="43C497A8" w:rsidR="00D43F3F" w:rsidRDefault="009856B4" w:rsidP="00D43F3F">
      <w:pPr>
        <w:pStyle w:val="a3"/>
        <w:widowControl/>
        <w:numPr>
          <w:ilvl w:val="0"/>
          <w:numId w:val="4"/>
        </w:numPr>
        <w:spacing w:afterLines="50" w:after="120"/>
        <w:contextualSpacing w:val="0"/>
        <w:jc w:val="both"/>
      </w:pPr>
      <w:r>
        <w:rPr>
          <w:rFonts w:hint="eastAsia"/>
        </w:rPr>
        <w:t xml:space="preserve">Promotion evaluation scoring shall be determined based on </w:t>
      </w:r>
      <w:r>
        <w:t>academic research performances (accounting for 70%</w:t>
      </w:r>
      <w:r w:rsidR="004B5CA8">
        <w:t xml:space="preserve"> of </w:t>
      </w:r>
      <w:r w:rsidR="002F1C76">
        <w:rPr>
          <w:rFonts w:hint="eastAsia"/>
        </w:rPr>
        <w:t xml:space="preserve">the </w:t>
      </w:r>
      <w:r w:rsidR="004B5CA8">
        <w:t>total score</w:t>
      </w:r>
      <w:r>
        <w:t>)</w:t>
      </w:r>
      <w:r w:rsidR="00304FDD">
        <w:t>,</w:t>
      </w:r>
      <w:r>
        <w:t xml:space="preserve"> teaching performances (accounting for 20%</w:t>
      </w:r>
      <w:r w:rsidR="004B5CA8">
        <w:t xml:space="preserve"> of </w:t>
      </w:r>
      <w:r w:rsidR="002F1C76">
        <w:t xml:space="preserve">the </w:t>
      </w:r>
      <w:r w:rsidR="004B5CA8">
        <w:t>total score</w:t>
      </w:r>
      <w:r>
        <w:t>)</w:t>
      </w:r>
      <w:r w:rsidR="00304FDD">
        <w:t>,</w:t>
      </w:r>
      <w:r>
        <w:t xml:space="preserve"> and services (accounting for 10%</w:t>
      </w:r>
      <w:r w:rsidR="004B5CA8">
        <w:t xml:space="preserve"> of </w:t>
      </w:r>
      <w:r w:rsidR="002F1C76">
        <w:t xml:space="preserve">the </w:t>
      </w:r>
      <w:r w:rsidR="004B5CA8">
        <w:t>total score</w:t>
      </w:r>
      <w:r>
        <w:t>) respectively</w:t>
      </w:r>
      <w:r w:rsidR="004B5CA8">
        <w:t>.</w:t>
      </w:r>
    </w:p>
    <w:p w14:paraId="607709CE" w14:textId="3A046300" w:rsidR="0019657E" w:rsidRDefault="006E46F2" w:rsidP="00D43F3F">
      <w:pPr>
        <w:pStyle w:val="a3"/>
        <w:widowControl/>
        <w:numPr>
          <w:ilvl w:val="0"/>
          <w:numId w:val="4"/>
        </w:numPr>
        <w:spacing w:afterLines="50" w:after="120"/>
        <w:contextualSpacing w:val="0"/>
        <w:jc w:val="both"/>
      </w:pPr>
      <w:r>
        <w:t>Scoring</w:t>
      </w:r>
      <w:r>
        <w:rPr>
          <w:rFonts w:hint="eastAsia"/>
        </w:rPr>
        <w:t xml:space="preserve"> </w:t>
      </w:r>
      <w:r>
        <w:t xml:space="preserve">for </w:t>
      </w:r>
      <w:r w:rsidR="00A252D0">
        <w:rPr>
          <w:rFonts w:hint="eastAsia"/>
        </w:rPr>
        <w:t>Academic Research Per</w:t>
      </w:r>
      <w:r w:rsidR="00A252D0">
        <w:t>formance:</w:t>
      </w:r>
    </w:p>
    <w:p w14:paraId="34598715" w14:textId="6567CBF9" w:rsidR="00BB571E" w:rsidRDefault="003C63CD" w:rsidP="00BB571E">
      <w:pPr>
        <w:pStyle w:val="a3"/>
        <w:widowControl/>
        <w:numPr>
          <w:ilvl w:val="1"/>
          <w:numId w:val="4"/>
        </w:numPr>
        <w:spacing w:afterLines="50" w:after="120"/>
        <w:ind w:left="1078"/>
        <w:contextualSpacing w:val="0"/>
        <w:jc w:val="both"/>
      </w:pPr>
      <w:r>
        <w:t xml:space="preserve">Determined </w:t>
      </w:r>
      <w:r w:rsidR="002F1C76">
        <w:t>based on evaluations of</w:t>
      </w:r>
      <w:r>
        <w:t xml:space="preserve"> </w:t>
      </w:r>
      <w:r w:rsidRPr="0051390E">
        <w:rPr>
          <w:color w:val="FF0000"/>
        </w:rPr>
        <w:t>“</w:t>
      </w:r>
      <w:r w:rsidR="003155B9" w:rsidRPr="0051390E">
        <w:rPr>
          <w:rFonts w:hint="eastAsia"/>
          <w:color w:val="FF0000"/>
        </w:rPr>
        <w:t>E</w:t>
      </w:r>
      <w:r w:rsidR="0051390E">
        <w:rPr>
          <w:color w:val="FF0000"/>
        </w:rPr>
        <w:t>xternally</w:t>
      </w:r>
      <w:r w:rsidR="002F1C76">
        <w:rPr>
          <w:color w:val="FF0000"/>
        </w:rPr>
        <w:t xml:space="preserve"> </w:t>
      </w:r>
      <w:r w:rsidR="003155B9" w:rsidRPr="0051390E">
        <w:rPr>
          <w:rFonts w:hint="eastAsia"/>
          <w:color w:val="FF0000"/>
        </w:rPr>
        <w:t>R</w:t>
      </w:r>
      <w:r w:rsidRPr="0051390E">
        <w:rPr>
          <w:color w:val="FF0000"/>
        </w:rPr>
        <w:t>eviewed</w:t>
      </w:r>
      <w:r w:rsidR="004E5B58" w:rsidRPr="0051390E">
        <w:rPr>
          <w:rFonts w:hint="eastAsia"/>
          <w:color w:val="FF0000"/>
        </w:rPr>
        <w:t xml:space="preserve"> </w:t>
      </w:r>
      <w:r w:rsidR="004E5B58" w:rsidRPr="0051390E">
        <w:rPr>
          <w:color w:val="FF0000"/>
        </w:rPr>
        <w:t>Research</w:t>
      </w:r>
      <w:r w:rsidRPr="0051390E">
        <w:rPr>
          <w:color w:val="FF0000"/>
        </w:rPr>
        <w:t>”</w:t>
      </w:r>
      <w:r>
        <w:t xml:space="preserve"> (accounting for 75%)</w:t>
      </w:r>
      <w:r w:rsidR="00304FDD">
        <w:t>,</w:t>
      </w:r>
      <w:r>
        <w:t xml:space="preserve"> </w:t>
      </w:r>
      <w:r w:rsidR="00BB571E" w:rsidRPr="0051390E">
        <w:rPr>
          <w:color w:val="FF0000"/>
        </w:rPr>
        <w:t>“</w:t>
      </w:r>
      <w:r w:rsidR="00D03076" w:rsidRPr="0051390E">
        <w:rPr>
          <w:color w:val="FF0000"/>
        </w:rPr>
        <w:t>Conductions of Government-commissioned R</w:t>
      </w:r>
      <w:r w:rsidR="00BB571E" w:rsidRPr="0051390E">
        <w:rPr>
          <w:color w:val="FF0000"/>
        </w:rPr>
        <w:t xml:space="preserve">esearch </w:t>
      </w:r>
      <w:r w:rsidR="00D03076" w:rsidRPr="0051390E">
        <w:rPr>
          <w:color w:val="FF0000"/>
        </w:rPr>
        <w:t>Projects (Principle Investigators Only) in P</w:t>
      </w:r>
      <w:r w:rsidR="00BB571E" w:rsidRPr="0051390E">
        <w:rPr>
          <w:color w:val="FF0000"/>
        </w:rPr>
        <w:t xml:space="preserve">ast </w:t>
      </w:r>
      <w:r w:rsidR="00D03076" w:rsidRPr="0051390E">
        <w:rPr>
          <w:color w:val="FF0000"/>
        </w:rPr>
        <w:t>S</w:t>
      </w:r>
      <w:r w:rsidR="00BB571E" w:rsidRPr="0051390E">
        <w:rPr>
          <w:color w:val="FF0000"/>
        </w:rPr>
        <w:t xml:space="preserve">even </w:t>
      </w:r>
      <w:r w:rsidR="00D03076" w:rsidRPr="0051390E">
        <w:rPr>
          <w:color w:val="FF0000"/>
        </w:rPr>
        <w:t>Y</w:t>
      </w:r>
      <w:r w:rsidR="00BB571E" w:rsidRPr="0051390E">
        <w:rPr>
          <w:color w:val="FF0000"/>
        </w:rPr>
        <w:t xml:space="preserve">ears </w:t>
      </w:r>
      <w:r w:rsidR="00D03076" w:rsidRPr="0051390E">
        <w:rPr>
          <w:color w:val="FF0000"/>
        </w:rPr>
        <w:t>W</w:t>
      </w:r>
      <w:r w:rsidR="00BB571E" w:rsidRPr="0051390E">
        <w:rPr>
          <w:color w:val="FF0000"/>
        </w:rPr>
        <w:t xml:space="preserve">hile on </w:t>
      </w:r>
      <w:r w:rsidR="00D03076" w:rsidRPr="0051390E">
        <w:rPr>
          <w:color w:val="FF0000"/>
        </w:rPr>
        <w:t>C</w:t>
      </w:r>
      <w:r w:rsidR="00BB571E" w:rsidRPr="0051390E">
        <w:rPr>
          <w:color w:val="FF0000"/>
        </w:rPr>
        <w:t xml:space="preserve">urrent </w:t>
      </w:r>
      <w:r w:rsidR="00D03076" w:rsidRPr="0051390E">
        <w:rPr>
          <w:color w:val="FF0000"/>
        </w:rPr>
        <w:t>Position and Subsidized I</w:t>
      </w:r>
      <w:r w:rsidR="00BB571E" w:rsidRPr="0051390E">
        <w:rPr>
          <w:color w:val="FF0000"/>
        </w:rPr>
        <w:t>tems</w:t>
      </w:r>
      <w:r w:rsidR="006E423D" w:rsidRPr="0051390E">
        <w:rPr>
          <w:color w:val="FF0000"/>
        </w:rPr>
        <w:t>,</w:t>
      </w:r>
      <w:r w:rsidR="00D03076" w:rsidRPr="0051390E">
        <w:rPr>
          <w:color w:val="FF0000"/>
        </w:rPr>
        <w:t>” “Exhibition</w:t>
      </w:r>
      <w:r w:rsidR="00C7753D">
        <w:rPr>
          <w:rFonts w:hint="eastAsia"/>
          <w:color w:val="FF0000"/>
        </w:rPr>
        <w:t>s</w:t>
      </w:r>
      <w:r w:rsidR="003155B9" w:rsidRPr="0051390E">
        <w:rPr>
          <w:color w:val="FF0000"/>
        </w:rPr>
        <w:t>/</w:t>
      </w:r>
      <w:r w:rsidR="00C7753D">
        <w:rPr>
          <w:color w:val="FF0000"/>
        </w:rPr>
        <w:t>Performance</w:t>
      </w:r>
      <w:r w:rsidR="00D03076" w:rsidRPr="0051390E">
        <w:rPr>
          <w:color w:val="FF0000"/>
        </w:rPr>
        <w:t xml:space="preserve">s in Past </w:t>
      </w:r>
      <w:r w:rsidR="00D03076" w:rsidRPr="0051390E">
        <w:rPr>
          <w:rFonts w:hint="eastAsia"/>
          <w:color w:val="FF0000"/>
        </w:rPr>
        <w:t>S</w:t>
      </w:r>
      <w:r w:rsidR="00D03076" w:rsidRPr="0051390E">
        <w:rPr>
          <w:color w:val="FF0000"/>
        </w:rPr>
        <w:t>even Years While on Current Position”</w:t>
      </w:r>
      <w:r w:rsidR="006E423D">
        <w:t xml:space="preserve"> (accounting for 25%)</w:t>
      </w:r>
      <w:r w:rsidR="00304FDD">
        <w:t>.</w:t>
      </w:r>
    </w:p>
    <w:p w14:paraId="1567304B" w14:textId="402571BE" w:rsidR="00E0196E" w:rsidRDefault="0051390E" w:rsidP="00E0196E">
      <w:pPr>
        <w:pStyle w:val="a3"/>
        <w:widowControl/>
        <w:numPr>
          <w:ilvl w:val="1"/>
          <w:numId w:val="4"/>
        </w:numPr>
        <w:spacing w:afterLines="50" w:after="120"/>
        <w:ind w:left="1078"/>
        <w:contextualSpacing w:val="0"/>
        <w:jc w:val="both"/>
      </w:pPr>
      <w:r>
        <w:rPr>
          <w:rFonts w:hint="eastAsia"/>
        </w:rPr>
        <w:t>T</w:t>
      </w:r>
      <w:r>
        <w:t xml:space="preserve">he scoring method for </w:t>
      </w:r>
      <w:r w:rsidR="002F1C76">
        <w:t>externally reviewed</w:t>
      </w:r>
      <w:r>
        <w:t xml:space="preserve"> research shall be determined in accordance with </w:t>
      </w:r>
      <w:r w:rsidR="00E0196E">
        <w:t xml:space="preserve">the </w:t>
      </w:r>
      <w:r>
        <w:t>“</w:t>
      </w:r>
      <w:r w:rsidRPr="00961E4C">
        <w:rPr>
          <w:color w:val="FF0000"/>
        </w:rPr>
        <w:t>College of Liberal Arts</w:t>
      </w:r>
      <w:r w:rsidR="00E0196E">
        <w:t xml:space="preserve"> </w:t>
      </w:r>
      <w:r w:rsidR="00E0196E" w:rsidRPr="00E0196E">
        <w:t>Table of Scores for Faculty Promotion</w:t>
      </w:r>
      <w:r w:rsidR="00E0196E">
        <w:t>.”</w:t>
      </w:r>
    </w:p>
    <w:p w14:paraId="10091279" w14:textId="6BAF0D0A" w:rsidR="00473330" w:rsidRPr="00473330" w:rsidRDefault="00473330" w:rsidP="00E0196E">
      <w:pPr>
        <w:pStyle w:val="a3"/>
        <w:widowControl/>
        <w:numPr>
          <w:ilvl w:val="1"/>
          <w:numId w:val="4"/>
        </w:numPr>
        <w:spacing w:afterLines="50" w:after="120"/>
        <w:ind w:left="1078"/>
        <w:contextualSpacing w:val="0"/>
        <w:jc w:val="both"/>
      </w:pPr>
      <w:r>
        <w:rPr>
          <w:color w:val="FF0000"/>
        </w:rPr>
        <w:t xml:space="preserve">Scoring for </w:t>
      </w:r>
      <w:r w:rsidRPr="0051390E">
        <w:rPr>
          <w:color w:val="FF0000"/>
        </w:rPr>
        <w:t>“Conductions of Government-commissioned Research Projects (Principle Investigators Only) in Past Seven Years While on Current Position and Subsidized Items”</w:t>
      </w:r>
      <w:r>
        <w:rPr>
          <w:color w:val="FF0000"/>
        </w:rPr>
        <w:t xml:space="preserve"> and </w:t>
      </w:r>
      <w:r w:rsidRPr="0051390E">
        <w:rPr>
          <w:color w:val="FF0000"/>
        </w:rPr>
        <w:t xml:space="preserve">“Exhibition/Performance Works in Past </w:t>
      </w:r>
      <w:r w:rsidRPr="0051390E">
        <w:rPr>
          <w:rFonts w:hint="eastAsia"/>
          <w:color w:val="FF0000"/>
        </w:rPr>
        <w:t>S</w:t>
      </w:r>
      <w:r w:rsidRPr="0051390E">
        <w:rPr>
          <w:color w:val="FF0000"/>
        </w:rPr>
        <w:t>even Years While on Current Position”</w:t>
      </w:r>
      <w:r w:rsidRPr="00473330">
        <w:t xml:space="preserve"> shall be </w:t>
      </w:r>
      <w:r w:rsidRPr="00BA5924">
        <w:t>accounted</w:t>
      </w:r>
      <w:r w:rsidRPr="00473330">
        <w:t xml:space="preserve"> in accordance with </w:t>
      </w:r>
      <w:r>
        <w:t>the “</w:t>
      </w:r>
      <w:r w:rsidRPr="00D43F3F">
        <w:t>College of Liberal Arts</w:t>
      </w:r>
      <w:r>
        <w:t xml:space="preserve"> </w:t>
      </w:r>
      <w:r w:rsidRPr="00E0196E">
        <w:t>Table of Scores for Faculty Promotion</w:t>
      </w:r>
      <w:r>
        <w:t>.”</w:t>
      </w:r>
    </w:p>
    <w:p w14:paraId="0977FFC6" w14:textId="4B8B4E7D" w:rsidR="00D43F3F" w:rsidRDefault="006E46F2" w:rsidP="00A665A8">
      <w:pPr>
        <w:pStyle w:val="a3"/>
        <w:widowControl/>
        <w:numPr>
          <w:ilvl w:val="0"/>
          <w:numId w:val="4"/>
        </w:numPr>
        <w:spacing w:afterLines="50" w:after="120"/>
        <w:contextualSpacing w:val="0"/>
        <w:jc w:val="both"/>
      </w:pPr>
      <w:proofErr w:type="gramStart"/>
      <w:r>
        <w:rPr>
          <w:rFonts w:hint="eastAsia"/>
        </w:rPr>
        <w:t xml:space="preserve">Scoring </w:t>
      </w:r>
      <w:r>
        <w:t xml:space="preserve">for </w:t>
      </w:r>
      <w:r w:rsidR="00A665A8">
        <w:rPr>
          <w:rFonts w:hint="eastAsia"/>
        </w:rPr>
        <w:t xml:space="preserve">Teaching Performance: </w:t>
      </w:r>
      <w:r w:rsidR="00A665A8">
        <w:t xml:space="preserve">determined in accordance with “NSYSU </w:t>
      </w:r>
      <w:r w:rsidR="00A665A8" w:rsidRPr="00A665A8">
        <w:t>Principles of Scores of Teaching and Service Performances for Faculty Promotions</w:t>
      </w:r>
      <w:r w:rsidR="00A665A8">
        <w:t>.”</w:t>
      </w:r>
      <w:proofErr w:type="gramEnd"/>
    </w:p>
    <w:p w14:paraId="1FC6FF27" w14:textId="42BB0F67" w:rsidR="00A665A8" w:rsidRDefault="006E46F2" w:rsidP="00D43F3F">
      <w:pPr>
        <w:pStyle w:val="a3"/>
        <w:widowControl/>
        <w:numPr>
          <w:ilvl w:val="0"/>
          <w:numId w:val="4"/>
        </w:numPr>
        <w:spacing w:afterLines="50" w:after="120"/>
        <w:contextualSpacing w:val="0"/>
        <w:jc w:val="both"/>
      </w:pPr>
      <w:r>
        <w:t xml:space="preserve">Scoring for </w:t>
      </w:r>
      <w:r>
        <w:rPr>
          <w:rFonts w:hint="eastAsia"/>
        </w:rPr>
        <w:t>Services</w:t>
      </w:r>
      <w:r>
        <w:t xml:space="preserve">: </w:t>
      </w:r>
      <w:r w:rsidR="004611B5">
        <w:t xml:space="preserve">the basic score for service performances is 70 points (for other </w:t>
      </w:r>
      <w:r w:rsidR="00CA27C4">
        <w:t>extra points</w:t>
      </w:r>
      <w:r w:rsidR="00C7753D">
        <w:rPr>
          <w:rFonts w:hint="eastAsia"/>
        </w:rPr>
        <w:t>,</w:t>
      </w:r>
      <w:r w:rsidR="004611B5">
        <w:t xml:space="preserve"> except </w:t>
      </w:r>
      <w:r w:rsidR="00CA27C4">
        <w:t xml:space="preserve">those </w:t>
      </w:r>
      <w:r w:rsidR="004611B5">
        <w:t>for servin</w:t>
      </w:r>
      <w:r w:rsidR="00C7753D">
        <w:t>g as committee members</w:t>
      </w:r>
      <w:r w:rsidR="00CA27C4">
        <w:t xml:space="preserve"> which are</w:t>
      </w:r>
      <w:r w:rsidR="004611B5">
        <w:t xml:space="preserve"> governed by </w:t>
      </w:r>
      <w:r w:rsidR="00CA27C4">
        <w:t xml:space="preserve">applicable </w:t>
      </w:r>
      <w:r w:rsidR="004611B5">
        <w:t xml:space="preserve">regulations, please list the service items in and outside NSYSU for adding </w:t>
      </w:r>
      <w:r w:rsidR="00CA27C4">
        <w:t>extra points</w:t>
      </w:r>
      <w:r w:rsidR="00EA08BB">
        <w:t>). E</w:t>
      </w:r>
      <w:r w:rsidR="00EA08BB">
        <w:rPr>
          <w:rFonts w:hint="eastAsia"/>
        </w:rPr>
        <w:t>xtra s</w:t>
      </w:r>
      <w:r w:rsidR="00EA08BB">
        <w:t xml:space="preserve">cores </w:t>
      </w:r>
      <w:proofErr w:type="gramStart"/>
      <w:r w:rsidR="00EA08BB">
        <w:rPr>
          <w:rFonts w:hint="eastAsia"/>
        </w:rPr>
        <w:t>sha</w:t>
      </w:r>
      <w:r w:rsidR="004611B5">
        <w:t>ll be add</w:t>
      </w:r>
      <w:r w:rsidR="004611B5" w:rsidRPr="00CA27C4">
        <w:t>ed</w:t>
      </w:r>
      <w:proofErr w:type="gramEnd"/>
      <w:r w:rsidR="004611B5" w:rsidRPr="00CA27C4">
        <w:t xml:space="preserve"> on top of </w:t>
      </w:r>
      <w:r w:rsidR="00EA08BB">
        <w:rPr>
          <w:rFonts w:hint="eastAsia"/>
        </w:rPr>
        <w:t xml:space="preserve">the basic </w:t>
      </w:r>
      <w:r w:rsidR="004611B5" w:rsidRPr="00CA27C4">
        <w:t xml:space="preserve">70 points (with 100 points as </w:t>
      </w:r>
      <w:r w:rsidR="00EA08BB">
        <w:rPr>
          <w:rFonts w:hint="eastAsia"/>
        </w:rPr>
        <w:t xml:space="preserve">the </w:t>
      </w:r>
      <w:r w:rsidR="00EA08BB">
        <w:t>full mark</w:t>
      </w:r>
      <w:r w:rsidR="004611B5" w:rsidRPr="00CA27C4">
        <w:t xml:space="preserve">). </w:t>
      </w:r>
      <w:r w:rsidR="00A9166B" w:rsidRPr="00CA27C4">
        <w:t>The scoring shall be accounted as be</w:t>
      </w:r>
      <w:r w:rsidR="00A9166B">
        <w:t>low (</w:t>
      </w:r>
      <w:r w:rsidR="00465D7B">
        <w:t>on</w:t>
      </w:r>
      <w:r w:rsidR="00465D7B" w:rsidRPr="009258D0">
        <w:t xml:space="preserve">ly years in </w:t>
      </w:r>
      <w:r w:rsidR="009258D0">
        <w:rPr>
          <w:rFonts w:hint="eastAsia"/>
        </w:rPr>
        <w:t xml:space="preserve">the </w:t>
      </w:r>
      <w:r w:rsidR="00465D7B" w:rsidRPr="009258D0">
        <w:t>same position in NSYSU will be accou</w:t>
      </w:r>
      <w:r w:rsidR="00465D7B">
        <w:t>nted</w:t>
      </w:r>
      <w:r w:rsidR="00A9166B">
        <w:t>).</w:t>
      </w:r>
    </w:p>
    <w:p w14:paraId="140F1C0B" w14:textId="6480EC24" w:rsidR="00465D7B" w:rsidRPr="00961E4C" w:rsidRDefault="00465D7B" w:rsidP="00465D7B">
      <w:pPr>
        <w:pStyle w:val="a3"/>
        <w:widowControl/>
        <w:numPr>
          <w:ilvl w:val="1"/>
          <w:numId w:val="4"/>
        </w:numPr>
        <w:spacing w:afterLines="50" w:after="120"/>
        <w:ind w:left="1092"/>
        <w:contextualSpacing w:val="0"/>
        <w:jc w:val="both"/>
        <w:rPr>
          <w:color w:val="FF0000"/>
        </w:rPr>
      </w:pPr>
      <w:r w:rsidRPr="00961E4C">
        <w:rPr>
          <w:color w:val="FF0000"/>
        </w:rPr>
        <w:t xml:space="preserve">2 extra points for each semester serving as a head of a level I position, and 1.5 extra point for each semester serving as a head of a level II position (a period less than one </w:t>
      </w:r>
      <w:r w:rsidRPr="00961E4C">
        <w:rPr>
          <w:color w:val="FF0000"/>
        </w:rPr>
        <w:lastRenderedPageBreak/>
        <w:t xml:space="preserve">semester will be accounted as one semester). A maximum of 20 extra points </w:t>
      </w:r>
      <w:proofErr w:type="gramStart"/>
      <w:r w:rsidRPr="00961E4C">
        <w:rPr>
          <w:color w:val="FF0000"/>
        </w:rPr>
        <w:t>may be awarded</w:t>
      </w:r>
      <w:proofErr w:type="gramEnd"/>
      <w:r w:rsidRPr="00961E4C">
        <w:rPr>
          <w:color w:val="FF0000"/>
        </w:rPr>
        <w:t xml:space="preserve"> for this item of calculation. If simultaneously serving as two heads of administrative and/or academic units within the university organizational structure, extra points </w:t>
      </w:r>
      <w:proofErr w:type="gramStart"/>
      <w:r w:rsidRPr="00961E4C">
        <w:rPr>
          <w:color w:val="FF0000"/>
        </w:rPr>
        <w:t>will be awarded</w:t>
      </w:r>
      <w:proofErr w:type="gramEnd"/>
      <w:r w:rsidRPr="00961E4C">
        <w:rPr>
          <w:color w:val="FF0000"/>
        </w:rPr>
        <w:t xml:space="preserve"> respectively for each position served. </w:t>
      </w:r>
    </w:p>
    <w:p w14:paraId="1EE743FD" w14:textId="0825A053" w:rsidR="00465D7B" w:rsidRDefault="00961E4C" w:rsidP="00465D7B">
      <w:pPr>
        <w:pStyle w:val="a3"/>
        <w:widowControl/>
        <w:numPr>
          <w:ilvl w:val="1"/>
          <w:numId w:val="4"/>
        </w:numPr>
        <w:spacing w:afterLines="50" w:after="120"/>
        <w:ind w:left="1092"/>
        <w:contextualSpacing w:val="0"/>
        <w:jc w:val="both"/>
      </w:pPr>
      <w:r>
        <w:t>S</w:t>
      </w:r>
      <w:r w:rsidR="00930F6D">
        <w:rPr>
          <w:rFonts w:hint="eastAsia"/>
        </w:rPr>
        <w:t xml:space="preserve">erving as </w:t>
      </w:r>
      <w:r w:rsidR="00930F6D">
        <w:t xml:space="preserve">representatives for university-wide or college-wide meetings: 1 extra point for each </w:t>
      </w:r>
      <w:r w:rsidR="00930F6D" w:rsidRPr="00930F6D">
        <w:rPr>
          <w:color w:val="FF0000"/>
        </w:rPr>
        <w:t>school year</w:t>
      </w:r>
      <w:r w:rsidR="00B151E1">
        <w:rPr>
          <w:rFonts w:hint="eastAsia"/>
        </w:rPr>
        <w:t xml:space="preserve"> with </w:t>
      </w:r>
      <w:r w:rsidR="00930F6D">
        <w:t>attendance rate</w:t>
      </w:r>
      <w:r w:rsidR="00B151E1">
        <w:rPr>
          <w:rFonts w:hint="eastAsia"/>
        </w:rPr>
        <w:t xml:space="preserve"> of 75%</w:t>
      </w:r>
      <w:bookmarkStart w:id="0" w:name="_GoBack"/>
      <w:bookmarkEnd w:id="0"/>
      <w:r w:rsidR="00930F6D">
        <w:t xml:space="preserve"> or above (attendance record</w:t>
      </w:r>
      <w:r w:rsidR="00341B55">
        <w:rPr>
          <w:rFonts w:hint="eastAsia"/>
        </w:rPr>
        <w:t>s</w:t>
      </w:r>
      <w:r w:rsidR="00930F6D">
        <w:t xml:space="preserve"> of college-wide meetings shall be provided by the college; t</w:t>
      </w:r>
      <w:r w:rsidR="00341B55">
        <w:rPr>
          <w:rFonts w:hint="eastAsia"/>
        </w:rPr>
        <w:t>hose of</w:t>
      </w:r>
      <w:r w:rsidR="00341B55">
        <w:t xml:space="preserve"> other</w:t>
      </w:r>
      <w:r w:rsidR="00341B55">
        <w:rPr>
          <w:rFonts w:hint="eastAsia"/>
        </w:rPr>
        <w:t xml:space="preserve"> meetings</w:t>
      </w:r>
      <w:r w:rsidR="00930F6D">
        <w:t xml:space="preserve"> shall be provided by each department to the college for reference). </w:t>
      </w:r>
    </w:p>
    <w:p w14:paraId="52234D40" w14:textId="77777777" w:rsidR="00472148" w:rsidRDefault="00472148" w:rsidP="00472148">
      <w:pPr>
        <w:pStyle w:val="a3"/>
        <w:widowControl/>
        <w:numPr>
          <w:ilvl w:val="1"/>
          <w:numId w:val="4"/>
        </w:numPr>
        <w:spacing w:afterLines="50" w:after="120"/>
        <w:ind w:left="1092"/>
        <w:contextualSpacing w:val="0"/>
        <w:jc w:val="both"/>
      </w:pPr>
      <w:r>
        <w:t xml:space="preserve">Service as members of preparation groups for large meetings or activities: 1 to 2 extra points, determined by the </w:t>
      </w:r>
      <w:r w:rsidRPr="00472148">
        <w:t>College Faculty Evaluation Committee</w:t>
      </w:r>
      <w:r>
        <w:t xml:space="preserve">. </w:t>
      </w:r>
    </w:p>
    <w:p w14:paraId="3687FF75" w14:textId="08817D35" w:rsidR="00472148" w:rsidRDefault="00472148" w:rsidP="00472148">
      <w:pPr>
        <w:pStyle w:val="a3"/>
        <w:widowControl/>
        <w:numPr>
          <w:ilvl w:val="1"/>
          <w:numId w:val="4"/>
        </w:numPr>
        <w:spacing w:afterLines="50" w:after="120"/>
        <w:ind w:left="1092"/>
        <w:contextualSpacing w:val="0"/>
        <w:jc w:val="both"/>
      </w:pPr>
      <w:r w:rsidRPr="00472148">
        <w:t xml:space="preserve">Extra </w:t>
      </w:r>
      <w:r>
        <w:t>8</w:t>
      </w:r>
      <w:r w:rsidRPr="00472148">
        <w:t xml:space="preserve"> points </w:t>
      </w:r>
      <w:proofErr w:type="gramStart"/>
      <w:r>
        <w:t>may be awarded</w:t>
      </w:r>
      <w:proofErr w:type="gramEnd"/>
      <w:r>
        <w:t xml:space="preserve"> for receiving</w:t>
      </w:r>
      <w:r w:rsidRPr="00472148">
        <w:t xml:space="preserve"> a University Award for Excellent Faculty Member</w:t>
      </w:r>
      <w:r>
        <w:t xml:space="preserve">. </w:t>
      </w:r>
      <w:r w:rsidRPr="00472148">
        <w:t xml:space="preserve">Extra 5 points </w:t>
      </w:r>
      <w:proofErr w:type="gramStart"/>
      <w:r>
        <w:t>may be awarded</w:t>
      </w:r>
      <w:proofErr w:type="gramEnd"/>
      <w:r>
        <w:t xml:space="preserve"> for receiving</w:t>
      </w:r>
      <w:r w:rsidRPr="00472148">
        <w:t xml:space="preserve"> a College Award for Excellent Faculty Member</w:t>
      </w:r>
      <w:r>
        <w:t xml:space="preserve">. </w:t>
      </w:r>
    </w:p>
    <w:p w14:paraId="6AAD0509" w14:textId="350B9CD4" w:rsidR="00472148" w:rsidRDefault="00472148" w:rsidP="00472148">
      <w:pPr>
        <w:pStyle w:val="a3"/>
        <w:widowControl/>
        <w:numPr>
          <w:ilvl w:val="1"/>
          <w:numId w:val="4"/>
        </w:numPr>
        <w:spacing w:afterLines="50" w:after="120"/>
        <w:ind w:left="1092"/>
        <w:contextualSpacing w:val="0"/>
        <w:jc w:val="both"/>
      </w:pPr>
      <w:r>
        <w:rPr>
          <w:rFonts w:hint="eastAsia"/>
        </w:rPr>
        <w:t xml:space="preserve">A maximum of </w:t>
      </w:r>
      <w:proofErr w:type="gramStart"/>
      <w:r>
        <w:rPr>
          <w:rFonts w:hint="eastAsia"/>
        </w:rPr>
        <w:t>8</w:t>
      </w:r>
      <w:proofErr w:type="gramEnd"/>
      <w:r>
        <w:rPr>
          <w:rFonts w:hint="eastAsia"/>
        </w:rPr>
        <w:t xml:space="preserve"> extra points may be awarded</w:t>
      </w:r>
      <w:r>
        <w:t xml:space="preserve"> for performing off-campus services. </w:t>
      </w:r>
    </w:p>
    <w:p w14:paraId="198C47C9" w14:textId="25E57ABC" w:rsidR="00472148" w:rsidRDefault="00D5186F" w:rsidP="0019657E">
      <w:pPr>
        <w:pStyle w:val="a3"/>
        <w:widowControl/>
        <w:numPr>
          <w:ilvl w:val="0"/>
          <w:numId w:val="4"/>
        </w:numPr>
        <w:spacing w:afterLines="50" w:after="120"/>
        <w:contextualSpacing w:val="0"/>
        <w:jc w:val="both"/>
      </w:pPr>
      <w:r>
        <w:t>A p</w:t>
      </w:r>
      <w:r>
        <w:rPr>
          <w:rFonts w:hint="eastAsia"/>
        </w:rPr>
        <w:t>romotion</w:t>
      </w:r>
      <w:r>
        <w:t xml:space="preserve"> application </w:t>
      </w:r>
      <w:proofErr w:type="gramStart"/>
      <w:r w:rsidR="00EA08BB">
        <w:rPr>
          <w:rFonts w:hint="eastAsia"/>
        </w:rPr>
        <w:t xml:space="preserve">shall </w:t>
      </w:r>
      <w:r>
        <w:t>be approved</w:t>
      </w:r>
      <w:proofErr w:type="gramEnd"/>
      <w:r>
        <w:t xml:space="preserve"> if the total score </w:t>
      </w:r>
      <w:r w:rsidR="00D85ACC">
        <w:rPr>
          <w:rFonts w:hint="eastAsia"/>
        </w:rPr>
        <w:t>of</w:t>
      </w:r>
      <w:r>
        <w:t xml:space="preserve"> academic research performances, teaching performances, and services is over 70 points. </w:t>
      </w:r>
    </w:p>
    <w:p w14:paraId="51C013A1" w14:textId="533F1435" w:rsidR="0019657E" w:rsidRPr="002F5E4E" w:rsidRDefault="0019657E" w:rsidP="0019657E">
      <w:pPr>
        <w:pStyle w:val="a3"/>
        <w:widowControl/>
        <w:numPr>
          <w:ilvl w:val="0"/>
          <w:numId w:val="4"/>
        </w:numPr>
        <w:spacing w:afterLines="50" w:after="120"/>
        <w:contextualSpacing w:val="0"/>
        <w:jc w:val="both"/>
      </w:pPr>
      <w:r w:rsidRPr="002F5E4E">
        <w:t xml:space="preserve">The </w:t>
      </w:r>
      <w:r w:rsidR="00400A72">
        <w:t>G</w:t>
      </w:r>
      <w:r w:rsidRPr="002F5E4E">
        <w:t xml:space="preserve">uidelines </w:t>
      </w:r>
      <w:proofErr w:type="gramStart"/>
      <w:r w:rsidRPr="002F5E4E">
        <w:t>shall be implemented</w:t>
      </w:r>
      <w:proofErr w:type="gramEnd"/>
      <w:r w:rsidRPr="002F5E4E">
        <w:t xml:space="preserve"> following </w:t>
      </w:r>
      <w:r w:rsidR="001247AA">
        <w:t xml:space="preserve">the </w:t>
      </w:r>
      <w:r w:rsidRPr="002F5E4E">
        <w:t>approva</w:t>
      </w:r>
      <w:r w:rsidR="001247AA">
        <w:t>l</w:t>
      </w:r>
      <w:r w:rsidRPr="002F5E4E">
        <w:t xml:space="preserve"> of the College Faculty Evaluation Committee</w:t>
      </w:r>
      <w:r w:rsidR="003C5A9B">
        <w:t xml:space="preserve"> and the review and approval of the University Faculty Evaluation Committee</w:t>
      </w:r>
      <w:r w:rsidRPr="002F5E4E">
        <w:t xml:space="preserve">. The same procedure </w:t>
      </w:r>
      <w:proofErr w:type="gramStart"/>
      <w:r w:rsidRPr="002F5E4E">
        <w:t>shall be carried</w:t>
      </w:r>
      <w:proofErr w:type="gramEnd"/>
      <w:r w:rsidRPr="002F5E4E">
        <w:t xml:space="preserve"> out </w:t>
      </w:r>
      <w:r w:rsidR="003C5A9B">
        <w:t>when amendments are to be made.</w:t>
      </w:r>
    </w:p>
    <w:p w14:paraId="11C47748" w14:textId="2605474C" w:rsidR="00400A72" w:rsidRPr="0019657E" w:rsidRDefault="00400A72" w:rsidP="0019657E"/>
    <w:sectPr w:rsidR="00400A72" w:rsidRPr="0019657E" w:rsidSect="009C44A3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2740F6" w15:done="0"/>
  <w15:commentEx w15:paraId="65AF9B26" w15:done="0"/>
  <w15:commentEx w15:paraId="6BF6545D" w15:done="0"/>
  <w15:commentEx w15:paraId="7C56C1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0355D" w14:textId="77777777" w:rsidR="003E58DD" w:rsidRDefault="003E58DD" w:rsidP="00105151">
      <w:r>
        <w:separator/>
      </w:r>
    </w:p>
  </w:endnote>
  <w:endnote w:type="continuationSeparator" w:id="0">
    <w:p w14:paraId="0E49AAE6" w14:textId="77777777" w:rsidR="003E58DD" w:rsidRDefault="003E58DD" w:rsidP="0010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CAE31" w14:textId="77777777" w:rsidR="003E58DD" w:rsidRDefault="003E58DD" w:rsidP="00105151">
      <w:r>
        <w:separator/>
      </w:r>
    </w:p>
  </w:footnote>
  <w:footnote w:type="continuationSeparator" w:id="0">
    <w:p w14:paraId="323F30C1" w14:textId="77777777" w:rsidR="003E58DD" w:rsidRDefault="003E58DD" w:rsidP="00105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486"/>
    <w:multiLevelType w:val="hybridMultilevel"/>
    <w:tmpl w:val="9B520D02"/>
    <w:lvl w:ilvl="0" w:tplc="93D84BFA">
      <w:start w:val="1"/>
      <w:numFmt w:val="upperRoman"/>
      <w:lvlText w:val="Article %1."/>
      <w:lvlJc w:val="right"/>
      <w:pPr>
        <w:ind w:left="1134" w:hanging="283"/>
      </w:pPr>
      <w:rPr>
        <w:rFonts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661B4"/>
    <w:multiLevelType w:val="hybridMultilevel"/>
    <w:tmpl w:val="781086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11096"/>
    <w:multiLevelType w:val="hybridMultilevel"/>
    <w:tmpl w:val="B98826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75A6D"/>
    <w:multiLevelType w:val="hybridMultilevel"/>
    <w:tmpl w:val="516278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K">
    <w15:presenceInfo w15:providerId="None" w15:userId="G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131078" w:nlCheck="1" w:checkStyle="0"/>
  <w:activeWritingStyle w:appName="MSWord" w:lang="en-AU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23"/>
    <w:rsid w:val="00007912"/>
    <w:rsid w:val="00023189"/>
    <w:rsid w:val="00031D7F"/>
    <w:rsid w:val="00047501"/>
    <w:rsid w:val="00086804"/>
    <w:rsid w:val="00092C28"/>
    <w:rsid w:val="00094067"/>
    <w:rsid w:val="000D1BF6"/>
    <w:rsid w:val="000D5439"/>
    <w:rsid w:val="00100A45"/>
    <w:rsid w:val="00104F16"/>
    <w:rsid w:val="00105151"/>
    <w:rsid w:val="001136D9"/>
    <w:rsid w:val="00116E69"/>
    <w:rsid w:val="001201E8"/>
    <w:rsid w:val="001247AA"/>
    <w:rsid w:val="00124BEB"/>
    <w:rsid w:val="0012685E"/>
    <w:rsid w:val="00134817"/>
    <w:rsid w:val="0019657E"/>
    <w:rsid w:val="001A2B5C"/>
    <w:rsid w:val="001A38A5"/>
    <w:rsid w:val="001E0738"/>
    <w:rsid w:val="001E08EF"/>
    <w:rsid w:val="001F3CBB"/>
    <w:rsid w:val="00204437"/>
    <w:rsid w:val="00234242"/>
    <w:rsid w:val="002379D9"/>
    <w:rsid w:val="002577AB"/>
    <w:rsid w:val="00257BF4"/>
    <w:rsid w:val="00286D5C"/>
    <w:rsid w:val="00294FC5"/>
    <w:rsid w:val="002C0304"/>
    <w:rsid w:val="002C5EF9"/>
    <w:rsid w:val="002E3DD8"/>
    <w:rsid w:val="002F1C76"/>
    <w:rsid w:val="003045BE"/>
    <w:rsid w:val="00304FDD"/>
    <w:rsid w:val="003052A3"/>
    <w:rsid w:val="003100C5"/>
    <w:rsid w:val="003155B9"/>
    <w:rsid w:val="0034046C"/>
    <w:rsid w:val="00341B55"/>
    <w:rsid w:val="00351B20"/>
    <w:rsid w:val="00364BCE"/>
    <w:rsid w:val="00374D79"/>
    <w:rsid w:val="0037606F"/>
    <w:rsid w:val="003B1550"/>
    <w:rsid w:val="003B4611"/>
    <w:rsid w:val="003C5A9B"/>
    <w:rsid w:val="003C63CD"/>
    <w:rsid w:val="003E58DD"/>
    <w:rsid w:val="00400A72"/>
    <w:rsid w:val="00405476"/>
    <w:rsid w:val="00407BD5"/>
    <w:rsid w:val="00415C9C"/>
    <w:rsid w:val="00433D5B"/>
    <w:rsid w:val="00442F8F"/>
    <w:rsid w:val="004611B5"/>
    <w:rsid w:val="00465D7B"/>
    <w:rsid w:val="00472148"/>
    <w:rsid w:val="00473330"/>
    <w:rsid w:val="00492710"/>
    <w:rsid w:val="004A02A2"/>
    <w:rsid w:val="004A3900"/>
    <w:rsid w:val="004B3CEB"/>
    <w:rsid w:val="004B5CA8"/>
    <w:rsid w:val="004E5B58"/>
    <w:rsid w:val="0050268C"/>
    <w:rsid w:val="00502707"/>
    <w:rsid w:val="0051390E"/>
    <w:rsid w:val="005441C8"/>
    <w:rsid w:val="005455A6"/>
    <w:rsid w:val="0054585B"/>
    <w:rsid w:val="0054751D"/>
    <w:rsid w:val="00552E23"/>
    <w:rsid w:val="0059251C"/>
    <w:rsid w:val="0060421B"/>
    <w:rsid w:val="00614586"/>
    <w:rsid w:val="00647278"/>
    <w:rsid w:val="00657AB4"/>
    <w:rsid w:val="00661A5C"/>
    <w:rsid w:val="00665C5D"/>
    <w:rsid w:val="006815B6"/>
    <w:rsid w:val="006B166C"/>
    <w:rsid w:val="006B4917"/>
    <w:rsid w:val="006C07FA"/>
    <w:rsid w:val="006D6652"/>
    <w:rsid w:val="006E423D"/>
    <w:rsid w:val="006E46F2"/>
    <w:rsid w:val="006F0278"/>
    <w:rsid w:val="007773F0"/>
    <w:rsid w:val="0079107E"/>
    <w:rsid w:val="007A29D2"/>
    <w:rsid w:val="007A50B1"/>
    <w:rsid w:val="007B1B3A"/>
    <w:rsid w:val="007B1BB0"/>
    <w:rsid w:val="007E293C"/>
    <w:rsid w:val="007F1E6A"/>
    <w:rsid w:val="00822C1C"/>
    <w:rsid w:val="008311A8"/>
    <w:rsid w:val="0084465E"/>
    <w:rsid w:val="008575F3"/>
    <w:rsid w:val="00867412"/>
    <w:rsid w:val="0087350A"/>
    <w:rsid w:val="00880211"/>
    <w:rsid w:val="00880B4C"/>
    <w:rsid w:val="008A40F2"/>
    <w:rsid w:val="008B0CED"/>
    <w:rsid w:val="008B0DBD"/>
    <w:rsid w:val="008B366E"/>
    <w:rsid w:val="008B4525"/>
    <w:rsid w:val="008C2612"/>
    <w:rsid w:val="008D34EE"/>
    <w:rsid w:val="00900B97"/>
    <w:rsid w:val="00914695"/>
    <w:rsid w:val="00921D76"/>
    <w:rsid w:val="00922F1C"/>
    <w:rsid w:val="0092481E"/>
    <w:rsid w:val="009258D0"/>
    <w:rsid w:val="00930F6D"/>
    <w:rsid w:val="00937C10"/>
    <w:rsid w:val="00951FF9"/>
    <w:rsid w:val="00961E4C"/>
    <w:rsid w:val="009674A6"/>
    <w:rsid w:val="00985070"/>
    <w:rsid w:val="009856B4"/>
    <w:rsid w:val="00994E96"/>
    <w:rsid w:val="009B2A12"/>
    <w:rsid w:val="009C44A3"/>
    <w:rsid w:val="009C7562"/>
    <w:rsid w:val="009E31DF"/>
    <w:rsid w:val="009F285F"/>
    <w:rsid w:val="009F7F85"/>
    <w:rsid w:val="00A036A0"/>
    <w:rsid w:val="00A10156"/>
    <w:rsid w:val="00A108A2"/>
    <w:rsid w:val="00A15311"/>
    <w:rsid w:val="00A252D0"/>
    <w:rsid w:val="00A301D9"/>
    <w:rsid w:val="00A44347"/>
    <w:rsid w:val="00A665A8"/>
    <w:rsid w:val="00A80FFD"/>
    <w:rsid w:val="00A833CA"/>
    <w:rsid w:val="00A9166B"/>
    <w:rsid w:val="00A96A5B"/>
    <w:rsid w:val="00AA2842"/>
    <w:rsid w:val="00AD6AEF"/>
    <w:rsid w:val="00AD7FCB"/>
    <w:rsid w:val="00B151E1"/>
    <w:rsid w:val="00B20A3E"/>
    <w:rsid w:val="00B21A90"/>
    <w:rsid w:val="00B36874"/>
    <w:rsid w:val="00B452CA"/>
    <w:rsid w:val="00B61FBC"/>
    <w:rsid w:val="00B843D9"/>
    <w:rsid w:val="00BA5924"/>
    <w:rsid w:val="00BB2146"/>
    <w:rsid w:val="00BB571E"/>
    <w:rsid w:val="00BB58E2"/>
    <w:rsid w:val="00BB6EAA"/>
    <w:rsid w:val="00C07B10"/>
    <w:rsid w:val="00C12E22"/>
    <w:rsid w:val="00C12E31"/>
    <w:rsid w:val="00C418D7"/>
    <w:rsid w:val="00C51022"/>
    <w:rsid w:val="00C67651"/>
    <w:rsid w:val="00C7753D"/>
    <w:rsid w:val="00C90C07"/>
    <w:rsid w:val="00C955DF"/>
    <w:rsid w:val="00C956EA"/>
    <w:rsid w:val="00CA27C4"/>
    <w:rsid w:val="00CB738D"/>
    <w:rsid w:val="00CD30F7"/>
    <w:rsid w:val="00CF1AC6"/>
    <w:rsid w:val="00CF3B03"/>
    <w:rsid w:val="00D03076"/>
    <w:rsid w:val="00D20B5F"/>
    <w:rsid w:val="00D3011B"/>
    <w:rsid w:val="00D43F3F"/>
    <w:rsid w:val="00D5186F"/>
    <w:rsid w:val="00D525C8"/>
    <w:rsid w:val="00D637BA"/>
    <w:rsid w:val="00D63F92"/>
    <w:rsid w:val="00D64625"/>
    <w:rsid w:val="00D64C3F"/>
    <w:rsid w:val="00D85ACC"/>
    <w:rsid w:val="00D97ED3"/>
    <w:rsid w:val="00DB185E"/>
    <w:rsid w:val="00DB653E"/>
    <w:rsid w:val="00DB6E2A"/>
    <w:rsid w:val="00DC4DC2"/>
    <w:rsid w:val="00DE3AF1"/>
    <w:rsid w:val="00E00770"/>
    <w:rsid w:val="00E0196E"/>
    <w:rsid w:val="00E021BE"/>
    <w:rsid w:val="00E471D6"/>
    <w:rsid w:val="00E573B5"/>
    <w:rsid w:val="00EA08BB"/>
    <w:rsid w:val="00ED4DD7"/>
    <w:rsid w:val="00EE4B24"/>
    <w:rsid w:val="00EF0BEF"/>
    <w:rsid w:val="00EF4DCB"/>
    <w:rsid w:val="00F03E73"/>
    <w:rsid w:val="00F132F4"/>
    <w:rsid w:val="00F2413C"/>
    <w:rsid w:val="00F2781C"/>
    <w:rsid w:val="00F3381D"/>
    <w:rsid w:val="00F74F02"/>
    <w:rsid w:val="00F96182"/>
    <w:rsid w:val="00FA35F8"/>
    <w:rsid w:val="00FD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A6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E23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kern w:val="2"/>
      <w:sz w:val="32"/>
      <w:szCs w:val="32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52E23"/>
    <w:rPr>
      <w:rFonts w:asciiTheme="majorHAnsi" w:eastAsiaTheme="majorEastAsia" w:hAnsiTheme="majorHAnsi" w:cstheme="majorBidi"/>
      <w:b/>
      <w:bCs/>
      <w:color w:val="345A8A" w:themeColor="accent1" w:themeShade="B5"/>
      <w:kern w:val="2"/>
      <w:sz w:val="32"/>
      <w:szCs w:val="32"/>
      <w:lang w:val="en-US" w:eastAsia="zh-TW"/>
    </w:rPr>
  </w:style>
  <w:style w:type="paragraph" w:styleId="a3">
    <w:name w:val="List Paragraph"/>
    <w:basedOn w:val="a"/>
    <w:uiPriority w:val="34"/>
    <w:qFormat/>
    <w:rsid w:val="00552E23"/>
    <w:pPr>
      <w:widowControl w:val="0"/>
      <w:ind w:left="720"/>
      <w:contextualSpacing/>
    </w:pPr>
    <w:rPr>
      <w:rFonts w:ascii="Times New Roman" w:eastAsia="新細明體" w:hAnsi="Times New Roman" w:cs="Times New Roman"/>
      <w:kern w:val="2"/>
      <w:lang w:val="en-US" w:eastAsia="zh-TW"/>
    </w:rPr>
  </w:style>
  <w:style w:type="paragraph" w:styleId="a4">
    <w:name w:val="header"/>
    <w:basedOn w:val="a"/>
    <w:link w:val="a5"/>
    <w:uiPriority w:val="99"/>
    <w:unhideWhenUsed/>
    <w:rsid w:val="00105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51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5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5151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A35F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A35F8"/>
  </w:style>
  <w:style w:type="character" w:customStyle="1" w:styleId="aa">
    <w:name w:val="註解文字 字元"/>
    <w:basedOn w:val="a0"/>
    <w:link w:val="a9"/>
    <w:uiPriority w:val="99"/>
    <w:semiHidden/>
    <w:rsid w:val="00FA35F8"/>
  </w:style>
  <w:style w:type="paragraph" w:styleId="ab">
    <w:name w:val="annotation subject"/>
    <w:basedOn w:val="a9"/>
    <w:next w:val="a9"/>
    <w:link w:val="ac"/>
    <w:uiPriority w:val="99"/>
    <w:semiHidden/>
    <w:unhideWhenUsed/>
    <w:rsid w:val="00FA35F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A35F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A3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A35F8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7A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340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E23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kern w:val="2"/>
      <w:sz w:val="32"/>
      <w:szCs w:val="32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52E23"/>
    <w:rPr>
      <w:rFonts w:asciiTheme="majorHAnsi" w:eastAsiaTheme="majorEastAsia" w:hAnsiTheme="majorHAnsi" w:cstheme="majorBidi"/>
      <w:b/>
      <w:bCs/>
      <w:color w:val="345A8A" w:themeColor="accent1" w:themeShade="B5"/>
      <w:kern w:val="2"/>
      <w:sz w:val="32"/>
      <w:szCs w:val="32"/>
      <w:lang w:val="en-US" w:eastAsia="zh-TW"/>
    </w:rPr>
  </w:style>
  <w:style w:type="paragraph" w:styleId="a3">
    <w:name w:val="List Paragraph"/>
    <w:basedOn w:val="a"/>
    <w:uiPriority w:val="34"/>
    <w:qFormat/>
    <w:rsid w:val="00552E23"/>
    <w:pPr>
      <w:widowControl w:val="0"/>
      <w:ind w:left="720"/>
      <w:contextualSpacing/>
    </w:pPr>
    <w:rPr>
      <w:rFonts w:ascii="Times New Roman" w:eastAsia="新細明體" w:hAnsi="Times New Roman" w:cs="Times New Roman"/>
      <w:kern w:val="2"/>
      <w:lang w:val="en-US" w:eastAsia="zh-TW"/>
    </w:rPr>
  </w:style>
  <w:style w:type="paragraph" w:styleId="a4">
    <w:name w:val="header"/>
    <w:basedOn w:val="a"/>
    <w:link w:val="a5"/>
    <w:uiPriority w:val="99"/>
    <w:unhideWhenUsed/>
    <w:rsid w:val="00105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51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5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5151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A35F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A35F8"/>
  </w:style>
  <w:style w:type="character" w:customStyle="1" w:styleId="aa">
    <w:name w:val="註解文字 字元"/>
    <w:basedOn w:val="a0"/>
    <w:link w:val="a9"/>
    <w:uiPriority w:val="99"/>
    <w:semiHidden/>
    <w:rsid w:val="00FA35F8"/>
  </w:style>
  <w:style w:type="paragraph" w:styleId="ab">
    <w:name w:val="annotation subject"/>
    <w:basedOn w:val="a9"/>
    <w:next w:val="a9"/>
    <w:link w:val="ac"/>
    <w:uiPriority w:val="99"/>
    <w:semiHidden/>
    <w:unhideWhenUsed/>
    <w:rsid w:val="00FA35F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A35F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A3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A35F8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7A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34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FD19C2-C689-4441-A9AE-B1C547D9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Chen</dc:creator>
  <cp:keywords/>
  <dc:description/>
  <cp:lastModifiedBy>CC</cp:lastModifiedBy>
  <cp:revision>170</cp:revision>
  <dcterms:created xsi:type="dcterms:W3CDTF">2015-07-20T07:34:00Z</dcterms:created>
  <dcterms:modified xsi:type="dcterms:W3CDTF">2015-08-31T03:34:00Z</dcterms:modified>
</cp:coreProperties>
</file>